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Pirot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Izdavanje apartmana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Legalizacija nepokretnosti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Provizija za promet nepokretnosti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4" w:history="1">
        <w:r>
          <w:rPr>
            <w:rFonts w:ascii="Arial" w:hAnsi="Arial" w:eastAsia="Arial" w:cs="Arial"/>
            <w:sz w:val="24"/>
            <w:szCs w:val="24"/>
          </w:rPr>
          <w:t>Uknjižba nepokretnosti</w:t>
        </w:r>
        <w:r>
          <w:tab/>
        </w:r>
        <w:r>
          <w:fldChar w:fldCharType="begin"/>
        </w:r>
        <w:r>
          <w:instrText xml:space="preserve">PAGEREF _Toc14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5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6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_Toc16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</w:tbl>
    <w:p/>
    <w:p>
      <w:pPr>
        <w:pStyle w:val="Heading2"/>
      </w:pPr>
      <w:bookmarkStart w:id="4" w:name="_Toc4"/>
      <w:r>
        <w:t>Izdavanje apartmana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1 - Elegance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10 - Top Lux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11 - Sweet Dreams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2 - Mystique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3 - Lux elegance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4 - Modern Lux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5 - Blue Light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6 - Top Class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7 - Sweet lux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8 - Lux Blue See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Turizam, Izdavanje apartmana, Apartman 9 - Champagne Blue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</w:tbl>
    <w:p/>
    <w:p>
      <w:pPr>
        <w:pStyle w:val="Heading2"/>
      </w:pPr>
      <w:bookmarkStart w:id="5" w:name="_Toc5"/>
      <w:r>
        <w:t>Kurs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Četvoromesečni,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Jednomesečni,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mala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mikro grupa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A1,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A2,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B1,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B2,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C1,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(2 ili 3 polaznika), C2,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A1,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A2,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B1,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(4 ili 5 polaznika), B2,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 (Dopunska), pomoć oko gradiva,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Eng. jezik (za kineze), Individualna,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(sa 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(sa 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A1,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A2,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B1,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B2,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C1,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(1 polaznik), C2,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A1,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A2,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B1,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B2,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C1,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Mala grupa (sa 4 ili 5 polaznika), C2, Tri i po meseca, 56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A1,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A2,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B1,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B2,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C1,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Mikro grupa (sa 2 ili 3 polaznika), C2, Dva i po meseca,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Grupna (sa 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A1,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A2,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B1,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B2,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C1,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Individualna (1 polaznik), C2,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A1,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A2,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B1,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B2,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C1,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Specijalistička, C2, 46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 (Dopunska), pomoć oko gradiva,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Individualna,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A1,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A2,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B1,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Mala grupa (4 ili 5 polaznika), B2, četiri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A1,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A2,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B1,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B2,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C1,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Srp. jezik (za kineze), Mikro grupa (2 ili 3 polaznika), C2, Tri i po meseca, 60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Ovladajte osnovama dikcije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Kinesko slikarstvo i kaligrafija,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</w:tbl>
    <w:p/>
    <w:p>
      <w:pPr>
        <w:pStyle w:val="Heading2"/>
      </w:pPr>
      <w:bookmarkStart w:id="6" w:name="_Toc6"/>
      <w:r>
        <w:t>Legalizacija nepokretnosti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Nepokretnosti,,Legalizacija nepokretnosti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7" w:name="_Toc7"/>
      <w:r>
        <w:t>Lektorisanje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8" w:name="_Toc8"/>
      <w:r>
        <w:t>Obuka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Poluindividualna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Poluindividualni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Dekoracija balonima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Ovladajte umetnošću karvinga (dekoracija od voća i povrća)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Posebna obuka i kurs lica koja rade na poslovima zaštite od požara (cena bez PDV-a)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Polindividualno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Obuka i kurs za primenu faktoringa u okviru poslovnog procesa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Savladajte osnove forenzičkog računovodstva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Poluindidvidualno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Upravljanje Projektima (OTS)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filmske šminke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tetoviranja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Osnove tretmana za potamnjivanje celog tela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Svilene trepavice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(poluindividualni)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Indvidualno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Dekoracija venčanja,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Dekoracija venčanja,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Dekoracija venčanja,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Šišanje pasa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Osnove kontrole projekata (Project controlling)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Poluindividulano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viljuškarom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9" w:name="_Toc9"/>
      <w:r>
        <w:t>Pisani prevod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10" w:name="_Toc10"/>
      <w:r>
        <w:t>Pisani prevod, pravna lica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11" w:name="_Toc11"/>
      <w:r>
        <w:t>Pripremna nastava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2" w:name="_Toc12"/>
      <w:r>
        <w:t>Provera znanja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3" w:name="_Toc13"/>
      <w:r>
        <w:t>Provizija za promet nepokretnosti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Nepokretnosti,,Posredovanje u kupoprodaji objekta - nepokretnosti, 3% provizija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4" w:name="_Toc14"/>
      <w:r>
        <w:t>Uknjižba nepokretnosti</w:t>
      </w:r>
      <w:bookmarkEnd w:id="1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Nepokretnosti,,Uknjižba nepokretnosti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</w:tbl>
    <w:p/>
    <w:p>
      <w:pPr>
        <w:pStyle w:val="Heading2"/>
      </w:pPr>
      <w:bookmarkStart w:id="15" w:name="_Toc15"/>
      <w:r>
        <w:t>Usmeni prevod</w:t>
      </w:r>
      <w:bookmarkEnd w:id="1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6" w:name="_Toc16"/>
      <w:r>
        <w:t>Usmeni prevod, pravna lica</w:t>
      </w:r>
      <w:bookmarkEnd w:id="1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06.11.2020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06.11.2020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Pirot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2020-11-06T10:11:48+01:00</dcterms:created>
  <dcterms:modified xsi:type="dcterms:W3CDTF">2020-11-06T10:11:48+01:00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