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ascii="Arial" w:hAnsi="Arial" w:eastAsia="Arial" w:cs="Arial"/>
          <w:sz w:val="36"/>
          <w:szCs w:val="36"/>
          <w:b/>
        </w:rPr>
        <w:t xml:space="preserve">Akademija Oxford</w:t>
      </w:r>
    </w:p>
    <w:p/>
    <w:p/>
    <w:p/>
    <w:p>
      <w:pPr>
        <w:jc w:val="center"/>
      </w:pPr>
      <w:r>
        <w:rPr>
          <w:rFonts w:ascii="Arial" w:hAnsi="Arial" w:eastAsia="Arial" w:cs="Arial"/>
          <w:sz w:val="28"/>
          <w:szCs w:val="28"/>
          <w:b/>
        </w:rPr>
        <w:t xml:space="preserve">poslovnica Pelagićevo</w:t>
      </w:r>
    </w:p>
    <w:p/>
    <w:p>
      <w:pPr>
        <w:jc w:val="center"/>
      </w:pPr>
      <w:r>
        <w:rPr>
          <w:rFonts w:ascii="Arial" w:hAnsi="Arial" w:eastAsia="Arial" w:cs="Arial"/>
          <w:sz w:val="24"/>
          <w:szCs w:val="24"/>
          <w:b/>
        </w:rPr>
        <w:t xml:space="preserve">- cenovnik prevodilačkih usluga -</w:t>
      </w:r>
    </w:p>
    <w:p/>
    <w:p/>
    <w:p/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Kontakt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fix: 381(22)/621055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381(60)/0225584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Radno vreme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radnim danima: 7-21h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subotom: 9-14h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Web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www.akademijaoxford.com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Adresa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Pelagićevo</w:t>
      </w:r>
    </w:p>
    <w:p/>
    <w:p>
      <w:r>
        <w:br w:type="page"/>
      </w:r>
    </w:p>
    <w:p>
      <w:pPr>
        <w:sectPr>
          <w:pgSz w:orient="portrait" w:w="11870" w:h="16787"/>
          <w:pgMar w:top="850.393700787" w:right="850.393700787" w:bottom="850.393700787" w:left="1133.85826772" w:header="566.929133858" w:footer="566.929133858" w:gutter="0"/>
          <w:cols w:num="1" w:space="720"/>
        </w:sectPr>
      </w:pPr>
    </w:p>
    <w:tbl>
      <w:tblGrid>
        <w:gridCol w:w="850.393700787" w:type="dxa"/>
        <w:gridCol w:w="8503.93700787" w:type="dxa"/>
        <w:gridCol w:w="850.393700787" w:type="dxa"/>
      </w:tblGrid>
      <w:tblPr>
        <w:tblStyle w:val="Asortiman"/>
      </w:tblPr>
      <w:tr>
        <w:trPr>
          <w:trHeight w:val="200" w:hRule="atLeast"/>
        </w:trPr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ID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Naziv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Cena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</w:tbl>
    <w:sectPr>
      <w:headerReference w:type="default" r:id="rId7"/>
      <w:footerReference w:type="default" r:id="rId8"/>
      <w:pgSz w:orient="portrait" w:w="11870" w:h="16787"/>
      <w:pgMar w:top="850.393700787" w:right="850.393700787" w:bottom="850.393700787" w:left="1133.85826772" w:header="566.929133858" w:footer="566.929133858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PAGE</w:instrText>
    </w:r>
    <w:r>
      <w:fldChar w:fldCharType="separate"/>
    </w:r>
    <w:r>
      <w:fldChar w:fldCharType="end"/>
    </w:r>
    <w:r>
      <w:rPr>
        <w:rFonts w:ascii="Arial" w:hAnsi="Arial" w:eastAsia="Arial" w:cs="Arial"/>
        <w:sz w:val="16"/>
        <w:szCs w:val="16"/>
      </w:rPr>
      <w:t xml:space="preserve"> / </w:t>
    </w: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NUMPAGES</w:instrText>
    </w:r>
    <w:r>
      <w:fldChar w:fldCharType="separate"/>
    </w:r>
    <w:r>
      <w:fldChar w:fldCharType="end"/>
    </w:r>
  </w:p>
</w:ft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Arial" w:hAnsi="Arial" w:eastAsia="Arial" w:cs="Arial"/>
        <w:sz w:val="16"/>
        <w:szCs w:val="16"/>
      </w:rPr>
      <w:t xml:space="preserve">Akademija Oxford / Pelagićevo / cenovnik prevodilačkih usluga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keepNext w:val="1"/>
      <w:jc w:val="left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sortiman">
    <w:name w:val="Asortiman"/>
    <w:uiPriority w:val="99"/>
    <w:tblPr>
      <w:jc w:val="center"/>
      <w:tblW w:w="2500" w:type="pct"/>
      <w:tblCellMar>
        <w:top w:w="28.3464566929" w:type="dxa"/>
        <w:left w:w="28.3464566929" w:type="dxa"/>
        <w:right w:w="28.3464566929" w:type="dxa"/>
        <w:bottom w:w="28.3464566929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blBorders>
          <w:bottom w:val="single" w:sz="18" w:color="0000FF"/>
        </w:tblBorders>
        <w:tcPr>
          <w:shd w:val="clear" w:color="" w:fill="FF731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4.xml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2023-05-12T15:56:54+02:00</dcterms:created>
  <dcterms:modified xsi:type="dcterms:W3CDTF">2023-05-12T15:56:54+02:00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