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6789C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64DDE" w:rsidRPr="00164DDE">
                    <w:rPr>
                      <w:b/>
                      <w:bCs/>
                      <w:caps/>
                      <w:sz w:val="72"/>
                      <w:szCs w:val="72"/>
                    </w:rPr>
                    <w:t>OSNOVI EKONOMIJE iv</w:t>
                  </w:r>
                  <w:r w:rsidR="00164DDE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29030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164DDE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164DDE" w:rsidRDefault="00164DD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164DDE" w:rsidRPr="00164DDE" w:rsidRDefault="00164DDE" w:rsidP="00164DDE">
      <w:pPr>
        <w:pStyle w:val="ListParagraph"/>
        <w:numPr>
          <w:ilvl w:val="0"/>
          <w:numId w:val="33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164DDE">
        <w:rPr>
          <w:sz w:val="24"/>
          <w:szCs w:val="24"/>
          <w:lang w:val="sr-Latn-CS"/>
        </w:rPr>
        <w:t>Uloga spoljnih faktora u nacionalnoj privredi</w:t>
      </w:r>
    </w:p>
    <w:p w:rsidR="00164DDE" w:rsidRPr="00164DDE" w:rsidRDefault="00164DDE" w:rsidP="00164DDE">
      <w:pPr>
        <w:pStyle w:val="ListParagraph"/>
        <w:numPr>
          <w:ilvl w:val="0"/>
          <w:numId w:val="33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164DDE">
        <w:rPr>
          <w:sz w:val="24"/>
          <w:szCs w:val="24"/>
          <w:lang w:val="sr-Latn-CS"/>
        </w:rPr>
        <w:t>Merkantilistička shvatanja</w:t>
      </w:r>
    </w:p>
    <w:p w:rsidR="00164DDE" w:rsidRPr="00164DDE" w:rsidRDefault="00164DDE" w:rsidP="00164DDE">
      <w:pPr>
        <w:pStyle w:val="ListParagraph"/>
        <w:numPr>
          <w:ilvl w:val="0"/>
          <w:numId w:val="33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164DDE">
        <w:rPr>
          <w:sz w:val="24"/>
          <w:szCs w:val="24"/>
          <w:lang w:val="sr-Latn-CS"/>
        </w:rPr>
        <w:t>Protekcionističke koncepcije međunarodne trgovine</w:t>
      </w:r>
      <w:bookmarkStart w:id="0" w:name="_GoBack"/>
      <w:bookmarkEnd w:id="0"/>
    </w:p>
    <w:p w:rsidR="00164DDE" w:rsidRPr="00164DDE" w:rsidRDefault="00164DDE" w:rsidP="00164DDE">
      <w:pPr>
        <w:pStyle w:val="ListParagraph"/>
        <w:numPr>
          <w:ilvl w:val="0"/>
          <w:numId w:val="33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164DDE">
        <w:rPr>
          <w:sz w:val="24"/>
          <w:szCs w:val="24"/>
          <w:lang w:val="sr-Latn-CS"/>
        </w:rPr>
        <w:t>Teorija apsolutnih vrednosti Adama Smita</w:t>
      </w:r>
    </w:p>
    <w:p w:rsidR="00164DDE" w:rsidRPr="00164DDE" w:rsidRDefault="00164DDE" w:rsidP="00164DDE">
      <w:pPr>
        <w:pStyle w:val="ListParagraph"/>
        <w:numPr>
          <w:ilvl w:val="0"/>
          <w:numId w:val="33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164DDE">
        <w:rPr>
          <w:sz w:val="24"/>
          <w:szCs w:val="24"/>
          <w:lang w:val="sr-Latn-CS"/>
        </w:rPr>
        <w:t>Teorija komparativnih prdnosti Davida Rikarda</w:t>
      </w:r>
    </w:p>
    <w:p w:rsidR="00164DDE" w:rsidRPr="00164DDE" w:rsidRDefault="00164DDE" w:rsidP="00164DDE">
      <w:pPr>
        <w:pStyle w:val="ListParagraph"/>
        <w:numPr>
          <w:ilvl w:val="0"/>
          <w:numId w:val="33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164DDE">
        <w:rPr>
          <w:sz w:val="24"/>
          <w:szCs w:val="24"/>
          <w:lang w:val="sr-Latn-CS"/>
        </w:rPr>
        <w:t>Teorija recipročne tražnje - Džon Stjuart Mil</w:t>
      </w:r>
    </w:p>
    <w:p w:rsidR="00164DDE" w:rsidRPr="00164DDE" w:rsidRDefault="00164DDE" w:rsidP="00164DDE">
      <w:pPr>
        <w:pStyle w:val="ListParagraph"/>
        <w:numPr>
          <w:ilvl w:val="0"/>
          <w:numId w:val="33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164DDE">
        <w:rPr>
          <w:sz w:val="24"/>
          <w:szCs w:val="24"/>
          <w:lang w:val="sr-Latn-CS"/>
        </w:rPr>
        <w:t>Moderna teorija međunarodne trgovine</w:t>
      </w:r>
    </w:p>
    <w:p w:rsidR="00164DDE" w:rsidRPr="00164DDE" w:rsidRDefault="00164DDE" w:rsidP="00164DDE">
      <w:pPr>
        <w:pStyle w:val="ListParagraph"/>
        <w:numPr>
          <w:ilvl w:val="0"/>
          <w:numId w:val="33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164DDE">
        <w:rPr>
          <w:sz w:val="24"/>
          <w:szCs w:val="24"/>
          <w:lang w:val="sr-Latn-CS"/>
        </w:rPr>
        <w:t>Intraindustrijska trgovina</w:t>
      </w:r>
    </w:p>
    <w:p w:rsidR="00164DDE" w:rsidRPr="00164DDE" w:rsidRDefault="00164DDE" w:rsidP="00164DDE">
      <w:pPr>
        <w:pStyle w:val="ListParagraph"/>
        <w:numPr>
          <w:ilvl w:val="0"/>
          <w:numId w:val="33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164DDE">
        <w:rPr>
          <w:sz w:val="24"/>
          <w:szCs w:val="24"/>
          <w:lang w:val="sr-Latn-CS"/>
        </w:rPr>
        <w:t>Oblici zaštite domaćeg tržišta</w:t>
      </w:r>
    </w:p>
    <w:p w:rsidR="00164DDE" w:rsidRPr="00164DDE" w:rsidRDefault="00164DDE" w:rsidP="00164DDE">
      <w:pPr>
        <w:pStyle w:val="ListParagraph"/>
        <w:numPr>
          <w:ilvl w:val="0"/>
          <w:numId w:val="33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164DDE">
        <w:rPr>
          <w:sz w:val="24"/>
          <w:szCs w:val="24"/>
          <w:lang w:val="sr-Latn-CS"/>
        </w:rPr>
        <w:t>Mere koje direktno utiču na cene - carine</w:t>
      </w:r>
    </w:p>
    <w:p w:rsidR="00164DDE" w:rsidRPr="00164DDE" w:rsidRDefault="00164DDE" w:rsidP="00164DDE">
      <w:pPr>
        <w:pStyle w:val="ListParagraph"/>
        <w:numPr>
          <w:ilvl w:val="0"/>
          <w:numId w:val="33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164DDE">
        <w:rPr>
          <w:sz w:val="24"/>
          <w:szCs w:val="24"/>
          <w:lang w:val="sr-Latn-CS"/>
        </w:rPr>
        <w:t>Argumenti za zaštitu domaćeg tržišta</w:t>
      </w:r>
    </w:p>
    <w:p w:rsidR="00164DDE" w:rsidRPr="00164DDE" w:rsidRDefault="00164DDE" w:rsidP="00164DDE">
      <w:pPr>
        <w:pStyle w:val="ListParagraph"/>
        <w:numPr>
          <w:ilvl w:val="0"/>
          <w:numId w:val="33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164DDE">
        <w:rPr>
          <w:sz w:val="24"/>
          <w:szCs w:val="24"/>
          <w:lang w:val="sr-Latn-CS"/>
        </w:rPr>
        <w:t>Vancarinska zaštita i neoprotekcionizam</w:t>
      </w:r>
    </w:p>
    <w:p w:rsidR="00164DDE" w:rsidRPr="00164DDE" w:rsidRDefault="00164DDE" w:rsidP="00164DDE">
      <w:pPr>
        <w:pStyle w:val="ListParagraph"/>
        <w:numPr>
          <w:ilvl w:val="0"/>
          <w:numId w:val="33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164DDE">
        <w:rPr>
          <w:sz w:val="24"/>
          <w:szCs w:val="24"/>
          <w:lang w:val="sr-Latn-CS"/>
        </w:rPr>
        <w:t>Podsticanje izvoza</w:t>
      </w:r>
      <w:r w:rsidRPr="00164DDE">
        <w:rPr>
          <w:sz w:val="24"/>
          <w:szCs w:val="24"/>
          <w:lang w:val="sr-Latn-CS"/>
        </w:rPr>
        <w:tab/>
      </w:r>
    </w:p>
    <w:p w:rsidR="00164DDE" w:rsidRPr="00164DDE" w:rsidRDefault="00164DDE" w:rsidP="00164DDE">
      <w:pPr>
        <w:pStyle w:val="ListParagraph"/>
        <w:numPr>
          <w:ilvl w:val="0"/>
          <w:numId w:val="33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164DDE">
        <w:rPr>
          <w:sz w:val="24"/>
          <w:szCs w:val="24"/>
          <w:lang w:val="sr-Latn-CS"/>
        </w:rPr>
        <w:t>Pojam i koncepti platnog bilansa</w:t>
      </w:r>
    </w:p>
    <w:p w:rsidR="00164DDE" w:rsidRPr="00164DDE" w:rsidRDefault="00164DDE" w:rsidP="00164DDE">
      <w:pPr>
        <w:pStyle w:val="ListParagraph"/>
        <w:numPr>
          <w:ilvl w:val="0"/>
          <w:numId w:val="33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164DDE">
        <w:rPr>
          <w:sz w:val="24"/>
          <w:szCs w:val="24"/>
          <w:lang w:val="sr-Latn-CS"/>
        </w:rPr>
        <w:t>Definisanje neravnoteže platnog bilansa</w:t>
      </w:r>
    </w:p>
    <w:p w:rsidR="00164DDE" w:rsidRPr="00164DDE" w:rsidRDefault="00164DDE" w:rsidP="00164DDE">
      <w:pPr>
        <w:pStyle w:val="ListParagraph"/>
        <w:numPr>
          <w:ilvl w:val="0"/>
          <w:numId w:val="33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164DDE">
        <w:rPr>
          <w:sz w:val="24"/>
          <w:szCs w:val="24"/>
          <w:lang w:val="sr-Latn-CS"/>
        </w:rPr>
        <w:t>Presecanje platnog bilansa</w:t>
      </w:r>
    </w:p>
    <w:p w:rsidR="00164DDE" w:rsidRPr="00164DDE" w:rsidRDefault="00164DDE" w:rsidP="00164DDE">
      <w:pPr>
        <w:pStyle w:val="ListParagraph"/>
        <w:numPr>
          <w:ilvl w:val="0"/>
          <w:numId w:val="33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164DDE">
        <w:rPr>
          <w:sz w:val="24"/>
          <w:szCs w:val="24"/>
          <w:lang w:val="sr-Latn-CS"/>
        </w:rPr>
        <w:t>Politika prilagođavanja platnog bilansa</w:t>
      </w:r>
    </w:p>
    <w:p w:rsidR="00164DDE" w:rsidRPr="00164DDE" w:rsidRDefault="00164DDE" w:rsidP="00164DDE">
      <w:pPr>
        <w:pStyle w:val="ListParagraph"/>
        <w:numPr>
          <w:ilvl w:val="0"/>
          <w:numId w:val="33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164DDE">
        <w:rPr>
          <w:sz w:val="24"/>
          <w:szCs w:val="24"/>
          <w:lang w:val="sr-Latn-CS"/>
        </w:rPr>
        <w:t>Vrste deviznih kurseva</w:t>
      </w:r>
    </w:p>
    <w:p w:rsidR="00164DDE" w:rsidRPr="00164DDE" w:rsidRDefault="00164DDE" w:rsidP="00164DDE">
      <w:pPr>
        <w:pStyle w:val="ListParagraph"/>
        <w:numPr>
          <w:ilvl w:val="0"/>
          <w:numId w:val="33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164DDE">
        <w:rPr>
          <w:sz w:val="24"/>
          <w:szCs w:val="24"/>
          <w:lang w:val="sr-Latn-CS"/>
        </w:rPr>
        <w:t>Determinante deviznih kurseva</w:t>
      </w:r>
    </w:p>
    <w:p w:rsidR="00164DDE" w:rsidRPr="00164DDE" w:rsidRDefault="00164DDE" w:rsidP="00164DDE">
      <w:pPr>
        <w:pStyle w:val="ListParagraph"/>
        <w:numPr>
          <w:ilvl w:val="0"/>
          <w:numId w:val="33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164DDE">
        <w:rPr>
          <w:sz w:val="24"/>
          <w:szCs w:val="24"/>
          <w:lang w:val="sr-Latn-CS"/>
        </w:rPr>
        <w:t>Devizno tržište</w:t>
      </w:r>
    </w:p>
    <w:p w:rsidR="00164DDE" w:rsidRPr="00164DDE" w:rsidRDefault="00164DDE" w:rsidP="00164DDE">
      <w:pPr>
        <w:pStyle w:val="ListParagraph"/>
        <w:numPr>
          <w:ilvl w:val="0"/>
          <w:numId w:val="33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164DDE">
        <w:rPr>
          <w:sz w:val="24"/>
          <w:szCs w:val="24"/>
          <w:lang w:val="sr-Latn-CS"/>
        </w:rPr>
        <w:t>Pojam međunarodnog kretanja kapitala</w:t>
      </w:r>
    </w:p>
    <w:p w:rsidR="00164DDE" w:rsidRPr="00164DDE" w:rsidRDefault="00164DDE" w:rsidP="00164DDE">
      <w:pPr>
        <w:pStyle w:val="ListParagraph"/>
        <w:numPr>
          <w:ilvl w:val="0"/>
          <w:numId w:val="33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164DDE">
        <w:rPr>
          <w:sz w:val="24"/>
          <w:szCs w:val="24"/>
          <w:lang w:val="sr-Latn-CS"/>
        </w:rPr>
        <w:lastRenderedPageBreak/>
        <w:t>Oblici međunarodnog kretanja kapitala</w:t>
      </w:r>
    </w:p>
    <w:p w:rsidR="00164DDE" w:rsidRPr="00164DDE" w:rsidRDefault="00164DDE" w:rsidP="00164DDE">
      <w:pPr>
        <w:pStyle w:val="ListParagraph"/>
        <w:numPr>
          <w:ilvl w:val="0"/>
          <w:numId w:val="33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164DDE">
        <w:rPr>
          <w:sz w:val="24"/>
          <w:szCs w:val="24"/>
          <w:lang w:val="sr-Latn-CS"/>
        </w:rPr>
        <w:t>Međunarodno tržište kapitala</w:t>
      </w:r>
    </w:p>
    <w:p w:rsidR="00164DDE" w:rsidRPr="00164DDE" w:rsidRDefault="00164DDE" w:rsidP="00164DDE">
      <w:pPr>
        <w:pStyle w:val="ListParagraph"/>
        <w:numPr>
          <w:ilvl w:val="0"/>
          <w:numId w:val="33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164DDE">
        <w:rPr>
          <w:sz w:val="24"/>
          <w:szCs w:val="24"/>
          <w:lang w:val="sr-Latn-CS"/>
        </w:rPr>
        <w:t>Dinamika i struktura međunarodne razmene</w:t>
      </w:r>
    </w:p>
    <w:p w:rsidR="00164DDE" w:rsidRPr="00164DDE" w:rsidRDefault="00164DDE" w:rsidP="00164DDE">
      <w:pPr>
        <w:pStyle w:val="ListParagraph"/>
        <w:numPr>
          <w:ilvl w:val="0"/>
          <w:numId w:val="33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164DDE">
        <w:rPr>
          <w:sz w:val="24"/>
          <w:szCs w:val="24"/>
          <w:lang w:val="sr-Latn-CS"/>
        </w:rPr>
        <w:t>Evropska unija</w:t>
      </w:r>
    </w:p>
    <w:p w:rsidR="00164DDE" w:rsidRPr="00164DDE" w:rsidRDefault="00164DDE" w:rsidP="00164DDE">
      <w:pPr>
        <w:pStyle w:val="ListParagraph"/>
        <w:numPr>
          <w:ilvl w:val="0"/>
          <w:numId w:val="33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164DDE">
        <w:rPr>
          <w:sz w:val="24"/>
          <w:szCs w:val="24"/>
          <w:lang w:val="sr-Latn-CS"/>
        </w:rPr>
        <w:t>Poljoprivredna politika Evropske unije</w:t>
      </w:r>
    </w:p>
    <w:p w:rsidR="00164DDE" w:rsidRPr="00164DDE" w:rsidRDefault="00164DDE" w:rsidP="00164DDE">
      <w:pPr>
        <w:pStyle w:val="ListParagraph"/>
        <w:numPr>
          <w:ilvl w:val="0"/>
          <w:numId w:val="33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164DDE">
        <w:rPr>
          <w:sz w:val="24"/>
          <w:szCs w:val="24"/>
          <w:lang w:val="sr-Latn-CS"/>
        </w:rPr>
        <w:t>Monetarna politika Evropske uije</w:t>
      </w:r>
    </w:p>
    <w:p w:rsidR="002E5A73" w:rsidRPr="00164DDE" w:rsidRDefault="00164DDE" w:rsidP="00164DDE">
      <w:pPr>
        <w:pStyle w:val="ListParagraph"/>
        <w:numPr>
          <w:ilvl w:val="0"/>
          <w:numId w:val="33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164DDE">
        <w:rPr>
          <w:sz w:val="24"/>
          <w:szCs w:val="24"/>
          <w:lang w:val="sr-Latn-CS"/>
        </w:rPr>
        <w:t>Transnacionalne kompanije u svetskoj privredi</w:t>
      </w:r>
      <w:r w:rsidR="00A46266" w:rsidRPr="00164DDE">
        <w:rPr>
          <w:sz w:val="24"/>
          <w:szCs w:val="24"/>
          <w:lang w:val="sr-Latn-CS"/>
        </w:rPr>
        <w:tab/>
      </w:r>
    </w:p>
    <w:p w:rsidR="00164DDE" w:rsidRPr="00164DDE" w:rsidRDefault="00164DDE" w:rsidP="00164DDE">
      <w:pPr>
        <w:widowControl w:val="0"/>
        <w:shd w:val="clear" w:color="auto" w:fill="FFFFFF"/>
        <w:tabs>
          <w:tab w:val="left" w:pos="410"/>
        </w:tabs>
        <w:autoSpaceDE w:val="0"/>
        <w:autoSpaceDN w:val="0"/>
        <w:adjustRightInd w:val="0"/>
        <w:spacing w:after="0" w:line="240" w:lineRule="auto"/>
        <w:ind w:right="1210"/>
        <w:rPr>
          <w:color w:val="000000"/>
          <w:spacing w:val="-8"/>
          <w:sz w:val="24"/>
          <w:szCs w:val="24"/>
          <w:lang w:val="hr-HR"/>
        </w:rPr>
      </w:pPr>
    </w:p>
    <w:p w:rsidR="00164DDE" w:rsidRDefault="00164DD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632C12" w:rsidRDefault="00632C12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632C12" w:rsidRDefault="00632C12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0C96E0E"/>
    <w:multiLevelType w:val="singleLevel"/>
    <w:tmpl w:val="CC92A37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2C8B0851"/>
    <w:multiLevelType w:val="hybridMultilevel"/>
    <w:tmpl w:val="6A6ACA2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973425"/>
    <w:multiLevelType w:val="singleLevel"/>
    <w:tmpl w:val="353E0E8E"/>
    <w:lvl w:ilvl="0">
      <w:start w:val="19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EE4E67"/>
    <w:multiLevelType w:val="singleLevel"/>
    <w:tmpl w:val="1550178E"/>
    <w:lvl w:ilvl="0">
      <w:start w:val="2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374D3D"/>
    <w:multiLevelType w:val="singleLevel"/>
    <w:tmpl w:val="E59C32CE"/>
    <w:lvl w:ilvl="0">
      <w:start w:val="1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28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27"/>
  </w:num>
  <w:num w:numId="7">
    <w:abstractNumId w:val="7"/>
  </w:num>
  <w:num w:numId="8">
    <w:abstractNumId w:val="16"/>
  </w:num>
  <w:num w:numId="9">
    <w:abstractNumId w:val="6"/>
  </w:num>
  <w:num w:numId="10">
    <w:abstractNumId w:val="14"/>
  </w:num>
  <w:num w:numId="11">
    <w:abstractNumId w:val="17"/>
  </w:num>
  <w:num w:numId="12">
    <w:abstractNumId w:val="19"/>
  </w:num>
  <w:num w:numId="13">
    <w:abstractNumId w:val="30"/>
  </w:num>
  <w:num w:numId="14">
    <w:abstractNumId w:val="12"/>
  </w:num>
  <w:num w:numId="15">
    <w:abstractNumId w:val="29"/>
  </w:num>
  <w:num w:numId="16">
    <w:abstractNumId w:val="9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1"/>
  </w:num>
  <w:num w:numId="22">
    <w:abstractNumId w:val="0"/>
  </w:num>
  <w:num w:numId="23">
    <w:abstractNumId w:val="20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3"/>
  </w:num>
  <w:num w:numId="27">
    <w:abstractNumId w:val="2"/>
  </w:num>
  <w:num w:numId="28">
    <w:abstractNumId w:val="23"/>
  </w:num>
  <w:num w:numId="29">
    <w:abstractNumId w:val="5"/>
  </w:num>
  <w:num w:numId="30">
    <w:abstractNumId w:val="25"/>
  </w:num>
  <w:num w:numId="31">
    <w:abstractNumId w:val="15"/>
  </w:num>
  <w:num w:numId="32">
    <w:abstractNumId w:val="2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64DDE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1281E1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4A29-39BF-421C-8065-5B295E57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2016-02-19T08:21:00Z</dcterms:created>
  <dcterms:modified xsi:type="dcterms:W3CDTF">2016-02-19T08:21:00Z</dcterms:modified>
</cp:coreProperties>
</file>