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D0B9F" w:rsidRPr="001D0B9F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1D0B9F" w:rsidRPr="001D0B9F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</w:t>
                  </w:r>
                  <w:r w:rsidR="001D0B9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1D0B9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1D0B9F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D0B9F" w:rsidRDefault="001D0B9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374" w:after="0" w:line="240" w:lineRule="auto"/>
        <w:ind w:left="1260"/>
        <w:rPr>
          <w:rFonts w:ascii="Times New Roman" w:hAnsi="Times New Roman"/>
          <w:color w:val="000000"/>
          <w:spacing w:val="-30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Novčana sredstva-blagajna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rPr>
          <w:color w:val="000000"/>
          <w:spacing w:val="-16"/>
          <w:sz w:val="24"/>
          <w:szCs w:val="24"/>
          <w:lang w:val="hr-HR"/>
        </w:rPr>
      </w:pPr>
      <w:r w:rsidRPr="001D0B9F">
        <w:rPr>
          <w:color w:val="000000"/>
          <w:spacing w:val="-1"/>
          <w:sz w:val="24"/>
          <w:szCs w:val="24"/>
          <w:lang w:val="hr-HR"/>
        </w:rPr>
        <w:t>Skontiranje blagajne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6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Žiro račun prelazni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2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Evidencije materijala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6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Cene u evidenciji materijala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6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Evidencije na kontu materijala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9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Povišenje cena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9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Sniženje cena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2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Obaveza prema dobavljačima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21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Evidencija na kontu materijala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Evidencija o kupcu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Evidencija robe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Evidencija robe u materijalnom knjigovodstvu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Interno kretanje robe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Knjiženje viška i manjka u prodavnici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Promena cena robe u prodavnici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pacing w:val="-6"/>
          <w:sz w:val="24"/>
          <w:szCs w:val="24"/>
          <w:lang w:val="hr-HR"/>
        </w:rPr>
        <w:t>Inventarisanje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before="7"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Pojam knjigovodstva i računovodstva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Poja sredstava i izvor sredstava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Pojam i podela sredstava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lastRenderedPageBreak/>
        <w:t>Pojam i podela pasive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Knjigovodsstvena evidencija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Pojam i podela konta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8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Evidencija žiro računa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Vrednost osnovnih sredstava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Dokumentacija i evidencija robe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Dobavljač za obrtna sredstva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pacing w:val="1"/>
          <w:sz w:val="24"/>
          <w:szCs w:val="24"/>
          <w:lang w:val="hr-HR"/>
        </w:rPr>
        <w:t>Kupci za obrtna sredstva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1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Zaliha robe</w:t>
      </w:r>
    </w:p>
    <w:p w:rsidR="001D0B9F" w:rsidRPr="001D0B9F" w:rsidRDefault="001D0B9F" w:rsidP="001D0B9F">
      <w:pPr>
        <w:pStyle w:val="ListParagraph"/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367" w:lineRule="exact"/>
        <w:ind w:left="1260"/>
        <w:rPr>
          <w:color w:val="000000"/>
          <w:spacing w:val="-13"/>
          <w:sz w:val="24"/>
          <w:szCs w:val="24"/>
          <w:lang w:val="hr-HR"/>
        </w:rPr>
      </w:pPr>
      <w:r w:rsidRPr="001D0B9F">
        <w:rPr>
          <w:color w:val="000000"/>
          <w:sz w:val="24"/>
          <w:szCs w:val="24"/>
          <w:lang w:val="hr-HR"/>
        </w:rPr>
        <w:t>Roba u prodavnici</w:t>
      </w:r>
    </w:p>
    <w:p w:rsidR="001D0B9F" w:rsidRDefault="001D0B9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ED0C29"/>
    <w:multiLevelType w:val="hybridMultilevel"/>
    <w:tmpl w:val="587E3A0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FF200C"/>
    <w:multiLevelType w:val="singleLevel"/>
    <w:tmpl w:val="39DCF860"/>
    <w:lvl w:ilvl="0">
      <w:start w:val="1"/>
      <w:numFmt w:val="decimal"/>
      <w:lvlText w:val="%1."/>
      <w:legacy w:legacy="1" w:legacySpace="0" w:legacyIndent="72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9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2"/>
  </w:num>
  <w:num w:numId="14">
    <w:abstractNumId w:val="15"/>
  </w:num>
  <w:num w:numId="15">
    <w:abstractNumId w:val="31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8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7"/>
  </w:num>
  <w:num w:numId="33">
    <w:abstractNumId w:val="3"/>
  </w:num>
  <w:num w:numId="34">
    <w:abstractNumId w:val="26"/>
    <w:lvlOverride w:ilvl="0">
      <w:startOverride w:val="1"/>
    </w:lvlOverride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0B9F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6BE46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EF30-4F43-4BC6-8E33-CBA1610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2016-02-20T09:11:00Z</dcterms:created>
  <dcterms:modified xsi:type="dcterms:W3CDTF">2016-02-20T09:11:00Z</dcterms:modified>
</cp:coreProperties>
</file>