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40F2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40F2F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3F58CD" w:rsidRDefault="00AD5A1B" w:rsidP="003F58C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05E7B">
        <w:rPr>
          <w:b/>
          <w:sz w:val="32"/>
          <w:szCs w:val="32"/>
        </w:rPr>
        <w:t>Trgovinski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40F2F" w:rsidRDefault="00740F2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  <w:r w:rsidRPr="00740F2F">
        <w:rPr>
          <w:b/>
          <w:sz w:val="32"/>
          <w:szCs w:val="32"/>
        </w:rPr>
        <w:t>Građansko vaspitanje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 i slobode – pristup informacijama i socijalno-ekonomska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Upoznavanje sa izvorima informacija – državni organi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Javna informacija;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Ograničenja u pristupu informacijama od javnog značaja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Procedura podnošenja zahteva ia pristup informacijama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na informisanje – uloga poverenika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Mediji kao izvor informacija – pitanje verodostojnosti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Razumevanje i tumačenje medijskih poruka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Mehanizmi medijske manipulacije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Uticaj tačke gledišta na objektivnost informacija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Selekcija informacija: objektivnost kao odgovornost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Uloga medija u savremenom društvu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karijere i ulazak u svet rada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Samoprocena i veštine predstavljanja sopstvenih karakteristika značajnih za dalje profesionalno obrazovanje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Razgovor sa poslodavcem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Traženje informacija značajnih za profesionalno obrazovanje i traženje posla</w:t>
      </w: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  <w:r w:rsidRPr="00740F2F">
        <w:rPr>
          <w:b/>
          <w:sz w:val="32"/>
          <w:szCs w:val="32"/>
        </w:rPr>
        <w:t>Verska nastava</w:t>
      </w:r>
    </w:p>
    <w:p w:rsid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740F2F" w:rsidRPr="00D103D9" w:rsidRDefault="00740F2F" w:rsidP="00740F2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740F2F" w:rsidRPr="00740F2F" w:rsidRDefault="00740F2F" w:rsidP="00740F2F">
      <w:pPr>
        <w:spacing w:after="0"/>
        <w:ind w:left="993"/>
        <w:rPr>
          <w:b/>
          <w:sz w:val="32"/>
          <w:szCs w:val="32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3F58CD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40F2F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05E7B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61F4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3A50-FE6C-4AC9-84EA-0BAC7151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2016-02-11T14:43:00Z</cp:lastPrinted>
  <dcterms:created xsi:type="dcterms:W3CDTF">2016-02-17T12:01:00Z</dcterms:created>
  <dcterms:modified xsi:type="dcterms:W3CDTF">2016-02-25T10:00:00Z</dcterms:modified>
</cp:coreProperties>
</file>