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FB7EAD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C12B87">
        <w:rPr>
          <w:b/>
          <w:sz w:val="32"/>
          <w:szCs w:val="32"/>
        </w:rPr>
        <w:t>Kozmeti</w:t>
      </w:r>
      <w:r w:rsidR="00C12B87">
        <w:rPr>
          <w:b/>
          <w:sz w:val="32"/>
          <w:szCs w:val="32"/>
          <w:lang w:val="sr-Latn-RS"/>
        </w:rPr>
        <w:t>č</w:t>
      </w:r>
      <w:r w:rsidR="00843A39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FB7EAD">
        <w:rPr>
          <w:b/>
          <w:sz w:val="32"/>
          <w:szCs w:val="32"/>
        </w:rPr>
        <w:t xml:space="preserve"> tehni</w:t>
      </w:r>
      <w:r w:rsidR="00FB7EAD">
        <w:rPr>
          <w:b/>
          <w:sz w:val="32"/>
          <w:szCs w:val="32"/>
          <w:lang w:val="sr-Latn-RS"/>
        </w:rPr>
        <w:t>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Građansko vaspitanje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8098E" w:rsidRP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276" w:hanging="283"/>
        <w:rPr>
          <w:sz w:val="28"/>
          <w:szCs w:val="28"/>
          <w:lang w:val="sr-Latn-CS"/>
        </w:rPr>
      </w:pPr>
      <w:r w:rsidRPr="00870B39">
        <w:rPr>
          <w:sz w:val="28"/>
          <w:szCs w:val="28"/>
        </w:rPr>
        <w:t>Људска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права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слободе</w:t>
      </w:r>
      <w:r w:rsidRPr="0058098E">
        <w:rPr>
          <w:sz w:val="28"/>
          <w:szCs w:val="28"/>
          <w:lang w:val="sr-Latn-CS"/>
        </w:rPr>
        <w:t xml:space="preserve"> – </w:t>
      </w:r>
      <w:r w:rsidRPr="00870B39">
        <w:rPr>
          <w:sz w:val="28"/>
          <w:szCs w:val="28"/>
        </w:rPr>
        <w:t>приступ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информацијама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социјално</w:t>
      </w:r>
      <w:r w:rsidRPr="0058098E">
        <w:rPr>
          <w:sz w:val="28"/>
          <w:szCs w:val="28"/>
          <w:lang w:val="sr-Latn-CS"/>
        </w:rPr>
        <w:t>-</w:t>
      </w:r>
      <w:r w:rsidRPr="00870B39">
        <w:rPr>
          <w:sz w:val="28"/>
          <w:szCs w:val="28"/>
        </w:rPr>
        <w:t>економска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права</w:t>
      </w:r>
    </w:p>
    <w:p w:rsidR="0058098E" w:rsidRPr="0058098E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  <w:lang w:val="sr-Latn-CS"/>
        </w:rPr>
      </w:pPr>
      <w:r w:rsidRPr="00870B39">
        <w:rPr>
          <w:sz w:val="28"/>
          <w:szCs w:val="28"/>
        </w:rPr>
        <w:t>Упознавање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са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изворима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информација</w:t>
      </w:r>
      <w:r w:rsidRPr="0058098E">
        <w:rPr>
          <w:sz w:val="28"/>
          <w:szCs w:val="28"/>
          <w:lang w:val="sr-Latn-CS"/>
        </w:rPr>
        <w:t xml:space="preserve"> – </w:t>
      </w:r>
      <w:r w:rsidRPr="00870B39">
        <w:rPr>
          <w:sz w:val="28"/>
          <w:szCs w:val="28"/>
        </w:rPr>
        <w:t>државни</w:t>
      </w:r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органи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Јавна информација; приступ информацијама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Ограничења у приступу информацијама од јавног значаја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Процедура подношења захтева иа приступ информацијама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Заштита права на информисање – улога повереника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Медији као извор информација – питање веродостојности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Разумевање и тумачење медијских порука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 w:rsidRPr="00870B39">
        <w:rPr>
          <w:sz w:val="28"/>
          <w:szCs w:val="28"/>
        </w:rPr>
        <w:t>Механизми медијске манипулације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Утицај тачке гледишта на објективност информација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Селекција информација: објективност као одговорност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Улога медија у савременом друштву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Планирање каријере и улазак у свет рада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tabs>
          <w:tab w:val="clear" w:pos="720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Самопроцена и вештине представљања сопствених карактеристика значајних за даље професионално образовање</w:t>
      </w:r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B39">
        <w:rPr>
          <w:sz w:val="28"/>
          <w:szCs w:val="28"/>
        </w:rPr>
        <w:t>Разговор са послодавцем</w:t>
      </w:r>
    </w:p>
    <w:p w:rsid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0B39">
        <w:rPr>
          <w:sz w:val="28"/>
          <w:szCs w:val="28"/>
        </w:rPr>
        <w:t>Тражење информација значајних за професионално образовање и тражење посла</w:t>
      </w:r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Verska nastava</w:t>
      </w: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43A39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2B87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EF9EE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110C-087F-40A7-953F-FA2A15E3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2016-02-06T12:08:00Z</dcterms:created>
  <dcterms:modified xsi:type="dcterms:W3CDTF">2016-02-23T10:54:00Z</dcterms:modified>
</cp:coreProperties>
</file>