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C6DC5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0F165A" w:rsidRPr="000F165A">
                    <w:rPr>
                      <w:b/>
                      <w:bCs/>
                      <w:caps/>
                      <w:sz w:val="72"/>
                      <w:szCs w:val="72"/>
                    </w:rPr>
                    <w:t>srpski jezik i kjni</w:t>
                  </w:r>
                  <w:r w:rsidR="000F165A" w:rsidRPr="000F165A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>ževnost</w:t>
                  </w:r>
                  <w:r w:rsidR="000F165A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C6DC5">
        <w:rPr>
          <w:b/>
          <w:sz w:val="32"/>
          <w:szCs w:val="32"/>
        </w:rPr>
        <w:t>Laboratorijski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A907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0757E2" w:rsidRDefault="000757E2" w:rsidP="009B5E88">
      <w:pPr>
        <w:spacing w:after="0"/>
        <w:ind w:firstLine="706"/>
        <w:rPr>
          <w:b/>
          <w:sz w:val="32"/>
          <w:szCs w:val="32"/>
        </w:rPr>
      </w:pPr>
    </w:p>
    <w:p w:rsidR="000F165A" w:rsidRPr="000757E2" w:rsidRDefault="000F165A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0F165A">
      <w:pPr>
        <w:tabs>
          <w:tab w:val="left" w:pos="268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  <w:r w:rsidR="000F165A">
        <w:rPr>
          <w:sz w:val="32"/>
          <w:szCs w:val="32"/>
          <w:lang w:val="sr-Latn-CS"/>
        </w:rPr>
        <w:tab/>
      </w:r>
    </w:p>
    <w:p w:rsidR="000F165A" w:rsidRDefault="000F165A" w:rsidP="000F165A">
      <w:pPr>
        <w:tabs>
          <w:tab w:val="left" w:pos="2680"/>
        </w:tabs>
        <w:spacing w:after="0"/>
        <w:ind w:firstLine="708"/>
        <w:rPr>
          <w:sz w:val="32"/>
          <w:szCs w:val="32"/>
          <w:lang w:val="sr-Latn-CS"/>
        </w:rPr>
      </w:pPr>
    </w:p>
    <w:p w:rsidR="000F165A" w:rsidRPr="00F56B86" w:rsidRDefault="000F165A" w:rsidP="000F165A">
      <w:pPr>
        <w:spacing w:after="0"/>
        <w:ind w:left="900"/>
        <w:rPr>
          <w:lang w:val="sr-Latn-CS"/>
        </w:rPr>
      </w:pPr>
      <w:r w:rsidRPr="00F56B86">
        <w:rPr>
          <w:lang w:val="sr-Latn-CS"/>
        </w:rPr>
        <w:t>1. Osnovni motivi u epu „Gilgameš“</w:t>
      </w:r>
    </w:p>
    <w:p w:rsidR="000F165A" w:rsidRPr="00F56B86" w:rsidRDefault="000F165A" w:rsidP="000F165A">
      <w:pPr>
        <w:spacing w:after="0"/>
        <w:ind w:left="900"/>
        <w:rPr>
          <w:lang w:val="sr-Latn-CS"/>
        </w:rPr>
      </w:pPr>
      <w:r w:rsidRPr="00F56B86">
        <w:rPr>
          <w:lang w:val="sr-Latn-CS"/>
        </w:rPr>
        <w:t>2. Biblija – razlika Starog i Novog zaveta</w:t>
      </w:r>
    </w:p>
    <w:p w:rsidR="000F165A" w:rsidRPr="00F56B86" w:rsidRDefault="000F165A" w:rsidP="000F165A">
      <w:pPr>
        <w:spacing w:after="0"/>
        <w:ind w:left="900"/>
        <w:rPr>
          <w:lang w:val="sr-Latn-CS"/>
        </w:rPr>
      </w:pPr>
      <w:r w:rsidRPr="00F56B86">
        <w:rPr>
          <w:lang w:val="sr-Latn-CS"/>
        </w:rPr>
        <w:t>3. Junaci „Ilijade“</w:t>
      </w:r>
    </w:p>
    <w:p w:rsidR="000F165A" w:rsidRPr="00F56B86" w:rsidRDefault="000F165A" w:rsidP="000F165A">
      <w:pPr>
        <w:spacing w:after="0"/>
        <w:ind w:left="900"/>
        <w:rPr>
          <w:lang w:val="sr-Latn-CS"/>
        </w:rPr>
      </w:pPr>
      <w:r w:rsidRPr="00F56B86">
        <w:rPr>
          <w:lang w:val="sr-Latn-CS"/>
        </w:rPr>
        <w:t>4. Odlike tri književna roda (lirike, epike, drame)</w:t>
      </w:r>
    </w:p>
    <w:p w:rsidR="000F165A" w:rsidRPr="00F56B86" w:rsidRDefault="000F165A" w:rsidP="000F165A">
      <w:pPr>
        <w:spacing w:after="0"/>
        <w:ind w:left="900"/>
        <w:rPr>
          <w:lang w:val="sr-Latn-CS"/>
        </w:rPr>
      </w:pPr>
      <w:r w:rsidRPr="00F56B86">
        <w:rPr>
          <w:lang w:val="sr-Latn-CS"/>
        </w:rPr>
        <w:t>5. Etape dramske radnje u tragediji „Antigona“</w:t>
      </w:r>
    </w:p>
    <w:p w:rsidR="000F165A" w:rsidRPr="00F56B86" w:rsidRDefault="000F165A" w:rsidP="000F165A">
      <w:pPr>
        <w:spacing w:after="0"/>
        <w:ind w:left="900"/>
        <w:rPr>
          <w:lang w:val="sr-Latn-CS"/>
        </w:rPr>
      </w:pPr>
      <w:r w:rsidRPr="00F56B86">
        <w:rPr>
          <w:lang w:val="sr-Latn-CS"/>
        </w:rPr>
        <w:t>6. Značaj Svetog Save za srpsku kulturu</w:t>
      </w:r>
    </w:p>
    <w:p w:rsidR="000F165A" w:rsidRPr="00F56B86" w:rsidRDefault="000F165A" w:rsidP="000F165A">
      <w:pPr>
        <w:spacing w:after="0"/>
        <w:ind w:left="900"/>
        <w:rPr>
          <w:lang w:val="sr-Latn-CS"/>
        </w:rPr>
      </w:pPr>
      <w:r w:rsidRPr="00F56B86">
        <w:rPr>
          <w:lang w:val="sr-Latn-CS"/>
        </w:rPr>
        <w:t>7. Dela Svetog Save</w:t>
      </w:r>
    </w:p>
    <w:p w:rsidR="000F165A" w:rsidRPr="00F56B86" w:rsidRDefault="000F165A" w:rsidP="000F165A">
      <w:pPr>
        <w:spacing w:after="0"/>
        <w:ind w:left="900"/>
        <w:rPr>
          <w:lang w:val="sr-Latn-CS"/>
        </w:rPr>
      </w:pPr>
      <w:r w:rsidRPr="00F56B86">
        <w:rPr>
          <w:lang w:val="sr-Latn-CS"/>
        </w:rPr>
        <w:t>8. Podela lirske narodne poezije</w:t>
      </w:r>
    </w:p>
    <w:p w:rsidR="000F165A" w:rsidRPr="00F56B86" w:rsidRDefault="000F165A" w:rsidP="000F165A">
      <w:pPr>
        <w:spacing w:after="0"/>
        <w:ind w:left="900"/>
        <w:rPr>
          <w:lang w:val="sr-Latn-CS"/>
        </w:rPr>
      </w:pPr>
      <w:r w:rsidRPr="00F56B86">
        <w:rPr>
          <w:lang w:val="sr-Latn-CS"/>
        </w:rPr>
        <w:t>9. Ciklusi epskih narodnih pesama</w:t>
      </w:r>
    </w:p>
    <w:p w:rsidR="000F165A" w:rsidRPr="00F56B86" w:rsidRDefault="000F165A" w:rsidP="000F165A">
      <w:pPr>
        <w:spacing w:after="0"/>
        <w:ind w:left="900"/>
        <w:rPr>
          <w:lang w:val="sr-Latn-CS"/>
        </w:rPr>
      </w:pPr>
      <w:r w:rsidRPr="00F56B86">
        <w:rPr>
          <w:lang w:val="sr-Latn-CS"/>
        </w:rPr>
        <w:t>10. Analiza epske pesme „Banović Strahinja“</w:t>
      </w:r>
    </w:p>
    <w:p w:rsidR="000F165A" w:rsidRPr="00F56B86" w:rsidRDefault="000F165A" w:rsidP="000F165A">
      <w:pPr>
        <w:spacing w:after="0"/>
        <w:ind w:left="900"/>
        <w:rPr>
          <w:lang w:val="sr-Latn-CS"/>
        </w:rPr>
      </w:pPr>
      <w:r w:rsidRPr="00F56B86">
        <w:rPr>
          <w:lang w:val="sr-Latn-CS"/>
        </w:rPr>
        <w:t>11. Odlike epohe humanizma i renesanse</w:t>
      </w:r>
    </w:p>
    <w:p w:rsidR="000F165A" w:rsidRPr="00F56B86" w:rsidRDefault="000F165A" w:rsidP="000F165A">
      <w:pPr>
        <w:spacing w:after="0"/>
        <w:ind w:left="900"/>
        <w:rPr>
          <w:lang w:val="sr-Latn-CS"/>
        </w:rPr>
      </w:pPr>
      <w:r w:rsidRPr="00F56B86">
        <w:rPr>
          <w:lang w:val="sr-Latn-CS"/>
        </w:rPr>
        <w:t>12. V. Šekspir „Romeo i Julija“ (likovi)</w:t>
      </w:r>
    </w:p>
    <w:p w:rsidR="000F165A" w:rsidRPr="00F56B86" w:rsidRDefault="000F165A" w:rsidP="000F165A">
      <w:pPr>
        <w:spacing w:after="0"/>
        <w:ind w:left="900"/>
        <w:rPr>
          <w:lang w:val="sr-Latn-CS"/>
        </w:rPr>
      </w:pPr>
      <w:r w:rsidRPr="00F56B86">
        <w:rPr>
          <w:lang w:val="sr-Latn-CS"/>
        </w:rPr>
        <w:t>13. Predstavnici srpskog baroka</w:t>
      </w:r>
    </w:p>
    <w:p w:rsidR="000F165A" w:rsidRPr="00F56B86" w:rsidRDefault="000F165A" w:rsidP="000F165A">
      <w:pPr>
        <w:spacing w:after="0"/>
        <w:ind w:left="900"/>
        <w:rPr>
          <w:lang w:val="sr-Latn-CS"/>
        </w:rPr>
      </w:pPr>
      <w:r w:rsidRPr="00F56B86">
        <w:rPr>
          <w:lang w:val="sr-Latn-CS"/>
        </w:rPr>
        <w:t>14. Molijer „Tvrdica“ (komedija karaktera)</w:t>
      </w:r>
    </w:p>
    <w:p w:rsidR="000F165A" w:rsidRPr="00F56B86" w:rsidRDefault="000F165A" w:rsidP="000F165A">
      <w:pPr>
        <w:spacing w:after="0"/>
        <w:ind w:left="900"/>
        <w:rPr>
          <w:lang w:val="sr-Latn-CS"/>
        </w:rPr>
      </w:pPr>
      <w:r w:rsidRPr="00F56B86">
        <w:rPr>
          <w:lang w:val="sr-Latn-CS"/>
        </w:rPr>
        <w:t>15. Stilske figure: epitet, metafora, hiperbola i personifikacija</w:t>
      </w:r>
    </w:p>
    <w:p w:rsidR="000F165A" w:rsidRDefault="000F165A" w:rsidP="000F165A">
      <w:pPr>
        <w:spacing w:after="0"/>
        <w:ind w:left="900"/>
        <w:rPr>
          <w:lang w:val="sr-Latn-CS"/>
        </w:rPr>
      </w:pPr>
      <w:r w:rsidRPr="00F56B86">
        <w:rPr>
          <w:lang w:val="sr-Latn-CS"/>
        </w:rPr>
        <w:t>16. Istorijski razvoj srpskog jezika (jezici na srpskom tlu do reforme Vuka   Karadžića)</w:t>
      </w:r>
    </w:p>
    <w:p w:rsidR="000F165A" w:rsidRDefault="000F165A" w:rsidP="000F165A">
      <w:pPr>
        <w:spacing w:after="0"/>
        <w:ind w:left="900"/>
        <w:rPr>
          <w:lang w:val="sr-Latn-CS"/>
        </w:rPr>
      </w:pPr>
      <w:r>
        <w:rPr>
          <w:lang w:val="sr-Latn-CS"/>
        </w:rPr>
        <w:t>17. Službe reči u rečenici (subjekatski i predikatski dodaci)</w:t>
      </w:r>
    </w:p>
    <w:p w:rsidR="000F165A" w:rsidRDefault="000F165A" w:rsidP="000F165A">
      <w:pPr>
        <w:spacing w:after="0"/>
        <w:ind w:left="900"/>
        <w:rPr>
          <w:lang w:val="sr-Latn-CS"/>
        </w:rPr>
      </w:pPr>
      <w:r>
        <w:rPr>
          <w:lang w:val="sr-Latn-CS"/>
        </w:rPr>
        <w:t>18. Glasovne promene (nabrojati ih i navesti po jedan primer za svaku)</w:t>
      </w:r>
    </w:p>
    <w:p w:rsidR="000F165A" w:rsidRDefault="000F165A" w:rsidP="000F165A">
      <w:pPr>
        <w:spacing w:after="0"/>
        <w:ind w:left="900"/>
        <w:rPr>
          <w:lang w:val="sr-Latn-CS"/>
        </w:rPr>
      </w:pPr>
      <w:r>
        <w:rPr>
          <w:lang w:val="sr-Latn-CS"/>
        </w:rPr>
        <w:t>19. Pravila o distribuciji (rasporedu) akcenta u srpskom jeziku</w:t>
      </w:r>
    </w:p>
    <w:p w:rsidR="000F165A" w:rsidRPr="00F56B86" w:rsidRDefault="000F165A" w:rsidP="000F165A">
      <w:pPr>
        <w:spacing w:after="0"/>
        <w:ind w:left="900"/>
        <w:rPr>
          <w:lang w:val="sr-Latn-CS"/>
        </w:rPr>
      </w:pPr>
      <w:r>
        <w:rPr>
          <w:lang w:val="sr-Latn-CS"/>
        </w:rPr>
        <w:t>20. Vrste rečnika (jednojezični/višejezični, savremeni/istorijski i td.)</w:t>
      </w:r>
    </w:p>
    <w:p w:rsidR="002215D9" w:rsidRPr="000F165A" w:rsidRDefault="002215D9" w:rsidP="000F165A">
      <w:pPr>
        <w:spacing w:after="0"/>
        <w:rPr>
          <w:sz w:val="24"/>
          <w:szCs w:val="24"/>
          <w:lang w:val="sr-Latn-CS"/>
        </w:rPr>
      </w:pPr>
      <w:bookmarkStart w:id="0" w:name="_GoBack"/>
      <w:bookmarkEnd w:id="0"/>
    </w:p>
    <w:sectPr w:rsidR="002215D9" w:rsidRPr="000F165A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1"/>
  </w:num>
  <w:num w:numId="3">
    <w:abstractNumId w:val="3"/>
  </w:num>
  <w:num w:numId="4">
    <w:abstractNumId w:val="3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20"/>
  </w:num>
  <w:num w:numId="7">
    <w:abstractNumId w:val="5"/>
  </w:num>
  <w:num w:numId="8">
    <w:abstractNumId w:val="12"/>
  </w:num>
  <w:num w:numId="9">
    <w:abstractNumId w:val="4"/>
  </w:num>
  <w:num w:numId="10">
    <w:abstractNumId w:val="11"/>
  </w:num>
  <w:num w:numId="11">
    <w:abstractNumId w:val="13"/>
  </w:num>
  <w:num w:numId="12">
    <w:abstractNumId w:val="15"/>
  </w:num>
  <w:num w:numId="13">
    <w:abstractNumId w:val="23"/>
  </w:num>
  <w:num w:numId="14">
    <w:abstractNumId w:val="9"/>
  </w:num>
  <w:num w:numId="15">
    <w:abstractNumId w:val="22"/>
  </w:num>
  <w:num w:numId="16">
    <w:abstractNumId w:val="6"/>
  </w:num>
  <w:num w:numId="17">
    <w:abstractNumId w:val="1"/>
  </w:num>
  <w:num w:numId="18">
    <w:abstractNumId w:val="17"/>
  </w:num>
  <w:num w:numId="19">
    <w:abstractNumId w:val="18"/>
  </w:num>
  <w:num w:numId="20">
    <w:abstractNumId w:val="19"/>
  </w:num>
  <w:num w:numId="21">
    <w:abstractNumId w:val="8"/>
  </w:num>
  <w:num w:numId="22">
    <w:abstractNumId w:val="0"/>
  </w:num>
  <w:num w:numId="23">
    <w:abstractNumId w:val="16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0D1096"/>
    <w:rsid w:val="000F165A"/>
    <w:rsid w:val="001043EE"/>
    <w:rsid w:val="00104483"/>
    <w:rsid w:val="00116242"/>
    <w:rsid w:val="001E3D40"/>
    <w:rsid w:val="00210387"/>
    <w:rsid w:val="002215D9"/>
    <w:rsid w:val="002434AC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B3C93"/>
    <w:rsid w:val="005E42D3"/>
    <w:rsid w:val="00604D78"/>
    <w:rsid w:val="006C6242"/>
    <w:rsid w:val="006F2391"/>
    <w:rsid w:val="007249D8"/>
    <w:rsid w:val="00767EF9"/>
    <w:rsid w:val="007A2CC4"/>
    <w:rsid w:val="00815F7A"/>
    <w:rsid w:val="00842F47"/>
    <w:rsid w:val="008C68DF"/>
    <w:rsid w:val="00933E48"/>
    <w:rsid w:val="0095166F"/>
    <w:rsid w:val="00982EDB"/>
    <w:rsid w:val="009B5E88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D00969"/>
    <w:rsid w:val="00DC5377"/>
    <w:rsid w:val="00DD642B"/>
    <w:rsid w:val="00DF05D5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B3B43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9A5DE-FA49-43F6-919F-8732EA35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2016-02-16T08:40:00Z</dcterms:created>
  <dcterms:modified xsi:type="dcterms:W3CDTF">2016-02-16T08:40:00Z</dcterms:modified>
</cp:coreProperties>
</file>