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96B67" w:rsidRPr="00996B67">
                    <w:rPr>
                      <w:b/>
                      <w:bCs/>
                      <w:caps/>
                      <w:sz w:val="72"/>
                      <w:szCs w:val="72"/>
                    </w:rPr>
                    <w:t>ustav i prava gra</w:t>
                  </w:r>
                  <w:r w:rsidR="00996B67" w:rsidRPr="00996B67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đana</w:t>
                  </w:r>
                  <w:r w:rsidR="00996B6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8D7676">
        <w:rPr>
          <w:b/>
          <w:sz w:val="32"/>
          <w:szCs w:val="32"/>
        </w:rPr>
        <w:t>V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996B67" w:rsidRDefault="00996B67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96B67" w:rsidRDefault="00996B6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1. Pojam i vrste ustava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2. Razvoj ustava i ustavnosti u svetu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3. Suština principa ustavnosti i zakonitosti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4. Ustavni sud i redovni sudovi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5. Pojam i vrste suvereniteta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6. Pojam i suština demokratije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7. Nedemokratski politički režimi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8. Referendum i narodna inicijativa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9. Pojam i funkcija političkih stranaka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10. Ustavne dužnosti čoveka i građana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11.Lične slobode i prava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12.Političke slobode i prava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13.Ekonomsko-socijalna prava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14.Zdravstvena, kulturna prava i prava pripadnika nacionalnih manjina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15.Narodna skupština Republike Srbije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16.Vlada Republike Srbije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17.Predsednik Republike Srbije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18.Pojam i vrste autonomije</w:t>
      </w:r>
    </w:p>
    <w:p w:rsidR="00996B67" w:rsidRPr="00996B67" w:rsidRDefault="00996B67" w:rsidP="00996B67">
      <w:pPr>
        <w:spacing w:after="0"/>
        <w:ind w:left="900"/>
        <w:rPr>
          <w:sz w:val="24"/>
          <w:szCs w:val="32"/>
          <w:lang w:val="sr-Latn-CS"/>
        </w:rPr>
      </w:pPr>
      <w:r w:rsidRPr="00996B67">
        <w:rPr>
          <w:sz w:val="24"/>
          <w:szCs w:val="32"/>
          <w:lang w:val="sr-Latn-CS"/>
        </w:rPr>
        <w:t>19.Lokalna samouprava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96B67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5593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00376-AB8F-4F54-B98E-9E5A4E1C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2016-02-16T12:10:00Z</dcterms:created>
  <dcterms:modified xsi:type="dcterms:W3CDTF">2016-02-16T12:10:00Z</dcterms:modified>
</cp:coreProperties>
</file>